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51.jpg" ContentType="image/jpeg"/>
  <Override PartName="/word/media/rId31.jpg" ContentType="image/jpeg"/>
  <Override PartName="/word/media/rId20.jpg" ContentType="image/jpeg"/>
  <Override PartName="/word/media/rId36.jpg" ContentType="image/jpeg"/>
  <Override PartName="/word/media/rId33.png" ContentType="image/png"/>
  <Override PartName="/word/media/rId29.png" ContentType="image/png"/>
  <Override PartName="/word/media/rId49.png" ContentType="image/png"/>
  <Override PartName="/word/media/rId21.png" ContentType="image/png"/>
  <Override PartName="/word/media/rId25.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pPr>
      <w:r>
        <w:t xml:space="preserve">National Coral Reef Monitoring Program</w:t>
      </w:r>
    </w:p>
    <w:p>
      <w:pPr>
        <w:pStyle w:val="Compact"/>
      </w:pPr>
      <w:r>
        <w:t xml:space="preserve">Climate Monitoring Brief: St. Croix, USVI</w:t>
      </w:r>
    </w:p>
    <w:p>
      <w:r>
        <w:pict>
          <v:rect style="width:0;height:1.5pt" o:hralign="center" o:hrstd="t" o:hr="t"/>
        </w:pict>
      </w:r>
    </w:p>
    <w:p>
      <w:pPr>
        <w:pStyle w:val="CaptionedFigure"/>
      </w:pPr>
      <w:r>
        <w:drawing>
          <wp:inline>
            <wp:extent cx="5334000" cy="3556000"/>
            <wp:effectExtent b="0" l="0" r="0" t="0"/>
            <wp:docPr descr="Orbicella faveolata colony in St. Croix, USVI" title="" id="1" name="Picture"/>
            <a:graphic>
              <a:graphicData uri="http://schemas.openxmlformats.org/drawingml/2006/picture">
                <pic:pic>
                  <pic:nvPicPr>
                    <pic:cNvPr descr="Data/STX_NCRMPClimate_2022.jpg" id="0"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Orbicella faveolata colony in St. Croix, USVI</w:t>
      </w:r>
    </w:p>
    <w:p>
      <w:pPr>
        <w:pStyle w:val="BodyText"/>
      </w:pPr>
    </w:p>
    <w:p>
      <w:pPr>
        <w:pStyle w:val="Compact"/>
      </w:pPr>
      <w:r>
        <w:t xml:space="preserve">Atlantic Oceanographic &amp; Meteorological Laboratory Coral Program</w:t>
      </w:r>
      <w:r>
        <w:t xml:space="preserve"> </w:t>
      </w:r>
      <w:r>
        <w:t xml:space="preserve">University of Miami Cooperative Institute of Marine and Atmospheric Science</w:t>
      </w:r>
      <w:r>
        <w:t xml:space="preserve"> </w:t>
      </w:r>
      <w:r>
        <w:t xml:space="preserve">National Oceanic Atmospheric Administration</w:t>
      </w:r>
    </w:p>
    <w:p>
      <w:pPr>
        <w:pStyle w:val="BodyText"/>
      </w:pPr>
    </w:p>
    <w:p>
      <w:pPr>
        <w:pStyle w:val="Compact"/>
      </w:pPr>
      <w:r>
        <w:t xml:space="preserve">N. Besemer, A. Palacio, A. Webb, G. Kolodziej, M. Chakraborty, I. Enochs - October 2022</w:t>
      </w:r>
    </w:p>
    <w:p>
      <w:pPr>
        <w:pStyle w:val="BodyText"/>
      </w:pPr>
      <w:r>
        <w:drawing>
          <wp:inline>
            <wp:extent cx="5334000" cy="4267200"/>
            <wp:effectExtent b="0" l="0" r="0" t="0"/>
            <wp:docPr descr="" title="" id="1" name="Picture"/>
            <a:graphic>
              <a:graphicData uri="http://schemas.openxmlformats.org/drawingml/2006/picture">
                <pic:pic>
                  <pic:nvPicPr>
                    <pic:cNvPr descr="STX_Field-Report_AP_files/figure-docx/logos-1.png" id="0" name="Picture"/>
                    <pic:cNvPicPr>
                      <a:picLocks noChangeArrowheads="1" noChangeAspect="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22" w:name="about-this-summary-brief"/>
      <w:r>
        <w:t xml:space="preserve">About this summary brief</w:t>
      </w:r>
      <w:bookmarkEnd w:id="22"/>
    </w:p>
    <w:p>
      <w:pPr>
        <w:pStyle w:val="FirstParagraph"/>
      </w:pPr>
      <w:r>
        <w:t xml:space="preserve">The NOAA Atlantic Oceanographic and Meteorological Laboratory (AOML) conducts the long-term National Coral Reef Monitoring Program (NCRMP) to track the status and trends of coral reef ecosystems of the U.S. Atlantic and Caribbean coral reef jurisdictions. This summary brief provides an overview of the most recent survey efforts to St. Croix USVI.</w:t>
      </w:r>
    </w:p>
    <w:p>
      <w:pPr>
        <w:pStyle w:val="Heading3"/>
      </w:pPr>
      <w:bookmarkStart w:id="23" w:name="expedition-summary"/>
      <w:r>
        <w:t xml:space="preserve">Expedition summary</w:t>
      </w:r>
      <w:bookmarkEnd w:id="23"/>
    </w:p>
    <w:p>
      <w:pPr>
        <w:pStyle w:val="Compact"/>
        <w:numPr>
          <w:numId w:val="1001"/>
          <w:ilvl w:val="0"/>
        </w:numPr>
      </w:pPr>
      <w:r>
        <w:t xml:space="preserve">The most recent NCRMP Atlantic climate monitoring took place in St. Croix in the US Virgin islands from September 4th to September 9th 2022</w:t>
      </w:r>
    </w:p>
    <w:p>
      <w:pPr>
        <w:pStyle w:val="Compact"/>
        <w:numPr>
          <w:numId w:val="1001"/>
          <w:ilvl w:val="0"/>
        </w:numPr>
      </w:pPr>
      <w:r>
        <w:t xml:space="preserve">16 different sites were visited by four team members and collaborators completing a total of 45 dives.</w:t>
      </w:r>
    </w:p>
    <w:p>
      <w:pPr>
        <w:pStyle w:val="Compact"/>
        <w:numPr>
          <w:numId w:val="1001"/>
          <w:ilvl w:val="0"/>
        </w:numPr>
      </w:pPr>
      <w:r>
        <w:t xml:space="preserve">These sites represent temporal‐resolution monitoring with moored instruments at fixed time‐series which are placed on depth gradient to assess how vertical structure affects reef status and trends.</w:t>
      </w:r>
    </w:p>
    <w:p>
      <w:r>
        <w:pict>
          <v:rect style="width:0;height:1.5pt" o:hralign="center" o:hrstd="t" o:hr="t"/>
        </w:pict>
      </w:r>
    </w:p>
    <w:p>
      <w:pPr>
        <w:pStyle w:val="Heading3"/>
      </w:pPr>
      <w:bookmarkStart w:id="24" w:name="data-collection"/>
      <w:r>
        <w:t xml:space="preserve">Data collection</w:t>
      </w:r>
      <w:bookmarkEnd w:id="24"/>
    </w:p>
    <w:p>
      <w:pPr>
        <w:pStyle w:val="Compact"/>
        <w:numPr>
          <w:numId w:val="1002"/>
          <w:ilvl w:val="0"/>
        </w:numPr>
      </w:pPr>
      <w:r>
        <w:t xml:space="preserve">Subsurface</w:t>
      </w:r>
      <w:r>
        <w:t xml:space="preserve"> </w:t>
      </w:r>
      <w:r>
        <w:rPr>
          <w:b/>
        </w:rPr>
        <w:t xml:space="preserve">temperature</w:t>
      </w:r>
      <w:r>
        <w:t xml:space="preserve"> </w:t>
      </w:r>
      <w:r>
        <w:t xml:space="preserve">recorders (STRs) were recovered and redeployed at all 4 transects, each one composed by 3-4 depths (Fig. 1). Overall, more than 4 million temperature observations were collected:</w:t>
      </w:r>
    </w:p>
    <w:p>
      <w:pPr>
        <w:pStyle w:val="TableCaption"/>
      </w:pPr>
      <w:r>
        <w:t xml:space="preserve">Number of temperture observations collected by transect and depth</w:t>
      </w:r>
    </w:p>
    <w:tbl>
      <w:tblPr>
        <w:tblStyle w:val="Table"/>
        <w:tblW w:type="pct" w:w="0.0"/>
        <w:tblLook w:firstRow="1"/>
        <w:tblCaption w:val="Number of temperture observations collected by transect and depth"/>
      </w:tblPr>
      <w:tblGrid/>
      <w:tr>
        <w:trPr>
          <w:cnfStyle w:firstRow="1"/>
        </w:trPr>
        <w:tc>
          <w:tcPr>
            <w:tcBorders>
              <w:bottom w:val="single"/>
            </w:tcBorders>
            <w:vAlign w:val="bottom"/>
          </w:tcPr>
          <w:p>
            <w:pPr>
              <w:pStyle w:val="Compact"/>
              <w:jc w:val="left"/>
            </w:pPr>
            <w:r>
              <w:t xml:space="preserve">Transect</w:t>
            </w:r>
          </w:p>
        </w:tc>
        <w:tc>
          <w:tcPr>
            <w:tcBorders>
              <w:bottom w:val="single"/>
            </w:tcBorders>
            <w:vAlign w:val="bottom"/>
          </w:tcPr>
          <w:p>
            <w:pPr>
              <w:pStyle w:val="Compact"/>
              <w:jc w:val="right"/>
            </w:pPr>
            <w:r>
              <w:t xml:space="preserve">01m</w:t>
            </w:r>
          </w:p>
        </w:tc>
        <w:tc>
          <w:tcPr>
            <w:tcBorders>
              <w:bottom w:val="single"/>
            </w:tcBorders>
            <w:vAlign w:val="bottom"/>
          </w:tcPr>
          <w:p>
            <w:pPr>
              <w:pStyle w:val="Compact"/>
              <w:jc w:val="right"/>
            </w:pPr>
            <w:r>
              <w:t xml:space="preserve">05m</w:t>
            </w:r>
          </w:p>
        </w:tc>
        <w:tc>
          <w:tcPr>
            <w:tcBorders>
              <w:bottom w:val="single"/>
            </w:tcBorders>
            <w:vAlign w:val="bottom"/>
          </w:tcPr>
          <w:p>
            <w:pPr>
              <w:pStyle w:val="Compact"/>
              <w:jc w:val="right"/>
            </w:pPr>
            <w:r>
              <w:t xml:space="preserve">15m</w:t>
            </w:r>
          </w:p>
        </w:tc>
        <w:tc>
          <w:tcPr>
            <w:tcBorders>
              <w:bottom w:val="single"/>
            </w:tcBorders>
            <w:vAlign w:val="bottom"/>
          </w:tcPr>
          <w:p>
            <w:pPr>
              <w:pStyle w:val="Compact"/>
              <w:jc w:val="right"/>
            </w:pPr>
            <w:r>
              <w:t xml:space="preserve">25m</w:t>
            </w:r>
          </w:p>
        </w:tc>
        <w:tc>
          <w:tcPr>
            <w:tcBorders>
              <w:bottom w:val="single"/>
            </w:tcBorders>
            <w:vAlign w:val="bottom"/>
          </w:tcPr>
          <w:p>
            <w:pPr>
              <w:pStyle w:val="Compact"/>
              <w:jc w:val="right"/>
            </w:pPr>
            <w:r>
              <w:t xml:space="preserve">Total</w:t>
            </w:r>
          </w:p>
        </w:tc>
      </w:tr>
      <w:tr>
        <w:tc>
          <w:p>
            <w:pPr>
              <w:pStyle w:val="Compact"/>
              <w:jc w:val="left"/>
            </w:pPr>
            <w:r>
              <w:t xml:space="preserve">east</w:t>
            </w:r>
          </w:p>
        </w:tc>
        <w:tc>
          <w:p>
            <w:pPr>
              <w:pStyle w:val="Compact"/>
              <w:jc w:val="right"/>
            </w:pPr>
            <w:r>
              <w:t xml:space="preserve">314,505</w:t>
            </w:r>
          </w:p>
        </w:tc>
        <w:tc>
          <w:p>
            <w:pPr>
              <w:pStyle w:val="Compact"/>
              <w:jc w:val="right"/>
            </w:pPr>
            <w:r>
              <w:t xml:space="preserve">314,508</w:t>
            </w:r>
          </w:p>
        </w:tc>
        <w:tc>
          <w:p>
            <w:pPr>
              <w:pStyle w:val="Compact"/>
              <w:jc w:val="right"/>
            </w:pPr>
            <w:r>
              <w:t xml:space="preserve">315,351</w:t>
            </w:r>
          </w:p>
        </w:tc>
        <w:tc>
          <w:p>
            <w:pPr>
              <w:pStyle w:val="Compact"/>
              <w:jc w:val="right"/>
            </w:pPr>
            <w:r>
              <w:t xml:space="preserve">315,345</w:t>
            </w:r>
          </w:p>
        </w:tc>
        <w:tc>
          <w:p>
            <w:pPr>
              <w:pStyle w:val="Compact"/>
              <w:jc w:val="right"/>
            </w:pPr>
            <w:r>
              <w:t xml:space="preserve">1,259,709</w:t>
            </w:r>
          </w:p>
        </w:tc>
      </w:tr>
      <w:tr>
        <w:tc>
          <w:p>
            <w:pPr>
              <w:pStyle w:val="Compact"/>
              <w:jc w:val="left"/>
            </w:pPr>
            <w:r>
              <w:t xml:space="preserve">north</w:t>
            </w:r>
          </w:p>
        </w:tc>
        <w:tc>
          <w:p>
            <w:pPr>
              <w:pStyle w:val="Compact"/>
              <w:jc w:val="right"/>
            </w:pPr>
            <w:r>
              <w:t xml:space="preserve">NA</w:t>
            </w:r>
          </w:p>
        </w:tc>
        <w:tc>
          <w:p>
            <w:pPr>
              <w:pStyle w:val="Compact"/>
              <w:jc w:val="right"/>
            </w:pPr>
            <w:r>
              <w:t xml:space="preserve">313,850</w:t>
            </w:r>
          </w:p>
        </w:tc>
        <w:tc>
          <w:p>
            <w:pPr>
              <w:pStyle w:val="Compact"/>
              <w:jc w:val="right"/>
            </w:pPr>
            <w:r>
              <w:t xml:space="preserve">313,887</w:t>
            </w:r>
          </w:p>
        </w:tc>
        <w:tc>
          <w:p>
            <w:pPr>
              <w:pStyle w:val="Compact"/>
              <w:jc w:val="right"/>
            </w:pPr>
            <w:r>
              <w:t xml:space="preserve">257,270</w:t>
            </w:r>
          </w:p>
        </w:tc>
        <w:tc>
          <w:p>
            <w:pPr>
              <w:pStyle w:val="Compact"/>
              <w:jc w:val="right"/>
            </w:pPr>
            <w:r>
              <w:t xml:space="preserve">885,007</w:t>
            </w:r>
          </w:p>
        </w:tc>
      </w:tr>
      <w:tr>
        <w:tc>
          <w:p>
            <w:pPr>
              <w:pStyle w:val="Compact"/>
              <w:jc w:val="left"/>
            </w:pPr>
            <w:r>
              <w:t xml:space="preserve">south</w:t>
            </w:r>
          </w:p>
        </w:tc>
        <w:tc>
          <w:p>
            <w:pPr>
              <w:pStyle w:val="Compact"/>
              <w:jc w:val="right"/>
            </w:pPr>
            <w:r>
              <w:t xml:space="preserve">231,351</w:t>
            </w:r>
          </w:p>
        </w:tc>
        <w:tc>
          <w:p>
            <w:pPr>
              <w:pStyle w:val="Compact"/>
              <w:jc w:val="right"/>
            </w:pPr>
            <w:r>
              <w:t xml:space="preserve">315,094</w:t>
            </w:r>
          </w:p>
        </w:tc>
        <w:tc>
          <w:p>
            <w:pPr>
              <w:pStyle w:val="Compact"/>
              <w:jc w:val="right"/>
            </w:pPr>
            <w:r>
              <w:t xml:space="preserve">315,095</w:t>
            </w:r>
          </w:p>
        </w:tc>
        <w:tc>
          <w:p>
            <w:pPr>
              <w:pStyle w:val="Compact"/>
              <w:jc w:val="right"/>
            </w:pPr>
            <w:r>
              <w:t xml:space="preserve">315,091</w:t>
            </w:r>
          </w:p>
        </w:tc>
        <w:tc>
          <w:p>
            <w:pPr>
              <w:pStyle w:val="Compact"/>
              <w:jc w:val="right"/>
            </w:pPr>
            <w:r>
              <w:t xml:space="preserve">1,176,631</w:t>
            </w:r>
          </w:p>
        </w:tc>
      </w:tr>
      <w:tr>
        <w:tc>
          <w:p>
            <w:pPr>
              <w:pStyle w:val="Compact"/>
              <w:jc w:val="left"/>
            </w:pPr>
            <w:r>
              <w:t xml:space="preserve">west</w:t>
            </w:r>
          </w:p>
        </w:tc>
        <w:tc>
          <w:p>
            <w:pPr>
              <w:pStyle w:val="Compact"/>
              <w:jc w:val="right"/>
            </w:pPr>
            <w:r>
              <w:t xml:space="preserve">NA</w:t>
            </w:r>
          </w:p>
        </w:tc>
        <w:tc>
          <w:p>
            <w:pPr>
              <w:pStyle w:val="Compact"/>
              <w:jc w:val="right"/>
            </w:pPr>
            <w:r>
              <w:t xml:space="preserve">314,240</w:t>
            </w:r>
          </w:p>
        </w:tc>
        <w:tc>
          <w:p>
            <w:pPr>
              <w:pStyle w:val="Compact"/>
              <w:jc w:val="right"/>
            </w:pPr>
            <w:r>
              <w:t xml:space="preserve">314,245</w:t>
            </w:r>
          </w:p>
        </w:tc>
        <w:tc>
          <w:p>
            <w:pPr>
              <w:pStyle w:val="Compact"/>
              <w:jc w:val="right"/>
            </w:pPr>
            <w:r>
              <w:t xml:space="preserve">314,243</w:t>
            </w:r>
          </w:p>
        </w:tc>
        <w:tc>
          <w:p>
            <w:pPr>
              <w:pStyle w:val="Compact"/>
              <w:jc w:val="right"/>
            </w:pPr>
            <w:r>
              <w:t xml:space="preserve">942,728</w:t>
            </w:r>
          </w:p>
        </w:tc>
      </w:tr>
    </w:tbl>
    <w:p>
      <w:pPr>
        <w:pStyle w:val="Compact"/>
        <w:numPr>
          <w:numId w:val="1003"/>
          <w:ilvl w:val="0"/>
        </w:numPr>
      </w:pPr>
      <w:r>
        <w:t xml:space="preserve">At Salt River, the north side of St. Croix, short term instruments (72h) were deployed to monitor daily fluctuations in:</w:t>
      </w:r>
    </w:p>
    <w:p>
      <w:pPr>
        <w:pStyle w:val="Compact"/>
        <w:numPr>
          <w:numId w:val="1004"/>
          <w:ilvl w:val="1"/>
        </w:numPr>
      </w:pPr>
      <w:r>
        <w:rPr>
          <w:b/>
        </w:rPr>
        <w:t xml:space="preserve">Current</w:t>
      </w:r>
      <w:r>
        <w:t xml:space="preserve">: 294 observations</w:t>
      </w:r>
    </w:p>
    <w:p>
      <w:pPr>
        <w:pStyle w:val="Compact"/>
        <w:numPr>
          <w:numId w:val="1004"/>
          <w:ilvl w:val="1"/>
        </w:numPr>
      </w:pPr>
      <w:r>
        <w:rPr>
          <w:b/>
        </w:rPr>
        <w:t xml:space="preserve">pH</w:t>
      </w:r>
      <w:r>
        <w:t xml:space="preserve">: 294 observations</w:t>
      </w:r>
    </w:p>
    <w:p>
      <w:pPr>
        <w:pStyle w:val="Compact"/>
        <w:numPr>
          <w:numId w:val="1004"/>
          <w:ilvl w:val="1"/>
        </w:numPr>
      </w:pPr>
      <w:r>
        <w:rPr>
          <w:b/>
        </w:rPr>
        <w:t xml:space="preserve">Light</w:t>
      </w:r>
      <w:r>
        <w:t xml:space="preserve">: 290 observations</w:t>
      </w:r>
    </w:p>
    <w:p>
      <w:pPr>
        <w:pStyle w:val="Compact"/>
        <w:numPr>
          <w:numId w:val="1004"/>
          <w:ilvl w:val="1"/>
        </w:numPr>
      </w:pPr>
      <w:r>
        <w:rPr>
          <w:b/>
        </w:rPr>
        <w:t xml:space="preserve">Carbonate Chemistry</w:t>
      </w:r>
      <w:r>
        <w:t xml:space="preserve">: 15 samples collected</w:t>
      </w:r>
    </w:p>
    <w:p>
      <w:pPr>
        <w:pStyle w:val="Compact"/>
        <w:numPr>
          <w:numId w:val="1004"/>
          <w:ilvl w:val="1"/>
        </w:numPr>
      </w:pPr>
      <w:r>
        <w:rPr>
          <w:b/>
        </w:rPr>
        <w:t xml:space="preserve">Benthic cover</w:t>
      </w:r>
      <w:r>
        <w:t xml:space="preserve">: 6 landscape mosaics</w:t>
      </w:r>
    </w:p>
    <w:p>
      <w:pPr>
        <w:pStyle w:val="Compact"/>
        <w:numPr>
          <w:numId w:val="1004"/>
          <w:ilvl w:val="1"/>
        </w:numPr>
      </w:pPr>
      <w:r>
        <w:rPr>
          <w:b/>
        </w:rPr>
        <w:t xml:space="preserve">Carbonate budget surveys</w:t>
      </w:r>
      <w:r>
        <w:t xml:space="preserve">: Benthic cover, sponge, urchin and parrotfish surveys completed at 6 transects</w:t>
      </w:r>
    </w:p>
    <w:p>
      <w:pPr>
        <w:pStyle w:val="FirstParagraph"/>
      </w:pPr>
    </w:p>
    <w:p>
      <w:pPr>
        <w:pStyle w:val="Compact"/>
        <w:numPr>
          <w:numId w:val="1005"/>
          <w:ilvl w:val="0"/>
        </w:numPr>
      </w:pPr>
      <w:r>
        <w:t xml:space="preserve">Additionally, changes in bioerosion and accretion were monitored at all 15m sites by recording:</w:t>
      </w:r>
    </w:p>
    <w:p>
      <w:pPr>
        <w:pStyle w:val="Compact"/>
        <w:numPr>
          <w:numId w:val="1006"/>
          <w:ilvl w:val="1"/>
        </w:numPr>
      </w:pPr>
      <w:r>
        <w:rPr>
          <w:b/>
        </w:rPr>
        <w:t xml:space="preserve">Bioerosion</w:t>
      </w:r>
      <w:r>
        <w:t xml:space="preserve">: 39 Bioerosion Monitoring Units (BMUs) collected, 40 redeployed</w:t>
      </w:r>
    </w:p>
    <w:p>
      <w:pPr>
        <w:pStyle w:val="Compact"/>
        <w:numPr>
          <w:numId w:val="1006"/>
          <w:ilvl w:val="1"/>
        </w:numPr>
      </w:pPr>
      <w:r>
        <w:rPr>
          <w:b/>
        </w:rPr>
        <w:t xml:space="preserve">Calcification</w:t>
      </w:r>
      <w:r>
        <w:t xml:space="preserve">: 18 Calcification Accretions Units (CAUs) collected, 20 redeployed</w:t>
      </w:r>
    </w:p>
    <w:p>
      <w:pPr>
        <w:pStyle w:val="FirstParagraph"/>
      </w:pPr>
    </w:p>
    <w:p>
      <w:pPr>
        <w:pStyle w:val="BodyText"/>
      </w:pPr>
      <w:r>
        <w:drawing>
          <wp:inline>
            <wp:extent cx="5334000" cy="2222500"/>
            <wp:effectExtent b="0" l="0" r="0" t="0"/>
            <wp:docPr descr="" title="" id="1" name="Picture"/>
            <a:graphic>
              <a:graphicData uri="http://schemas.openxmlformats.org/drawingml/2006/picture">
                <pic:pic>
                  <pic:nvPicPr>
                    <pic:cNvPr descr="STX_Field-Report_AP_files/figure-docx/makeAmap-1.png" id="0" name="Picture"/>
                    <pic:cNvPicPr>
                      <a:picLocks noChangeArrowheads="1" noChangeAspect="1"/>
                    </pic:cNvPicPr>
                  </pic:nvPicPr>
                  <pic:blipFill>
                    <a:blip r:embed="rId25"/>
                    <a:stretch>
                      <a:fillRect/>
                    </a:stretch>
                  </pic:blipFill>
                  <pic:spPr bwMode="auto">
                    <a:xfrm>
                      <a:off x="0" y="0"/>
                      <a:ext cx="5334000" cy="2222500"/>
                    </a:xfrm>
                    <a:prstGeom prst="rect">
                      <a:avLst/>
                    </a:prstGeom>
                    <a:noFill/>
                    <a:ln w="9525">
                      <a:noFill/>
                      <a:headEnd/>
                      <a:tailEnd/>
                    </a:ln>
                  </pic:spPr>
                </pic:pic>
              </a:graphicData>
            </a:graphic>
          </wp:inline>
        </w:drawing>
      </w:r>
    </w:p>
    <w:p>
      <w:pPr>
        <w:pStyle w:val="BodyText"/>
      </w:pPr>
      <w:r>
        <w:t xml:space="preserve"> </w:t>
      </w:r>
      <w:r>
        <w:rPr>
          <w:b/>
        </w:rPr>
        <w:t xml:space="preserve">Figure 1:</w:t>
      </w:r>
      <w:r>
        <w:t xml:space="preserve"> </w:t>
      </w:r>
      <w:r>
        <w:t xml:space="preserve">Study sites and depths in St. Croix, USVI</w:t>
      </w:r>
      <w:r>
        <w:t xml:space="preserve"> </w:t>
      </w:r>
    </w:p>
    <w:p>
      <w:r>
        <w:pict>
          <v:rect style="width:0;height:1.5pt" o:hralign="center" o:hrstd="t" o:hr="t"/>
        </w:pict>
      </w:r>
    </w:p>
    <w:p>
      <w:pPr>
        <w:pStyle w:val="Heading4"/>
      </w:pPr>
      <w:bookmarkStart w:id="26" w:name="temperature"/>
      <w:r>
        <w:t xml:space="preserve">Temperature</w:t>
      </w:r>
      <w:bookmarkEnd w:id="26"/>
    </w:p>
    <w:p>
      <w:pPr>
        <w:pStyle w:val="FirstParagraph"/>
      </w:pPr>
      <w:r>
        <w:t xml:space="preserve">Three years of temperature measurements were retrieved and processed from 14 sites (depths). Temperature was measured using SeaBird Electronics Subsurface Temperature Recorders (STR)s that collected data at 5-minute intervals.</w:t>
      </w:r>
    </w:p>
    <w:p>
      <w:pPr>
        <w:pStyle w:val="BodyText"/>
      </w:pPr>
      <w:r>
        <w:drawing>
          <wp:inline>
            <wp:extent cx="5334000" cy="3368842"/>
            <wp:effectExtent b="0" l="0" r="0" t="0"/>
            <wp:docPr descr="" title="" id="1" name="Picture"/>
            <a:graphic>
              <a:graphicData uri="http://schemas.openxmlformats.org/drawingml/2006/picture">
                <pic:pic>
                  <pic:nvPicPr>
                    <pic:cNvPr descr="STX_Field-Report_AP_files/figure-docx/unnamed-chunk-2-1.png" id="0" name="Picture"/>
                    <pic:cNvPicPr>
                      <a:picLocks noChangeArrowheads="1" noChangeAspect="1"/>
                    </pic:cNvPicPr>
                  </pic:nvPicPr>
                  <pic:blipFill>
                    <a:blip r:embed="rId27"/>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t xml:space="preserve"> </w:t>
      </w:r>
      <w:r>
        <w:rPr>
          <w:b/>
        </w:rPr>
        <w:t xml:space="preserve">Figure 2:</w:t>
      </w:r>
      <w:r>
        <w:t xml:space="preserve"> </w:t>
      </w:r>
      <w:r>
        <w:t xml:space="preserve">Temperature conditions at four transects in St. Croix (east, west, north and south) representing a depth gradient (1m, 5m, 15m and 25m). Data were collected from September 2019 to September 2022. However, STR from north station - 25m stopped recording earlier on February 2022 and STRs from south station - 1m on Nobember 2011.</w:t>
      </w:r>
      <w:r>
        <w:t xml:space="preserve"> </w:t>
      </w:r>
    </w:p>
    <w:p>
      <w:pPr>
        <w:pStyle w:val="BodyText"/>
      </w:pPr>
      <w:r>
        <w:t xml:space="preserve">Temperature values were similar among the transects and depths depths with the lowest temperatures generally occurring in March (mean: 26.56</w:t>
      </w:r>
      <m:oMath>
        <m:sSup>
          <m:e>
            <m:r>
              <m:t>​</m:t>
            </m:r>
          </m:e>
          <m:sup>
            <m:r>
              <m:t>∘</m:t>
            </m:r>
          </m:sup>
        </m:sSup>
      </m:oMath>
      <w:r>
        <w:t xml:space="preserve">C, min: 25.64</w:t>
      </w:r>
      <m:oMath>
        <m:sSup>
          <m:e>
            <m:r>
              <m:t>​</m:t>
            </m:r>
          </m:e>
          <m:sup>
            <m:r>
              <m:t>∘</m:t>
            </m:r>
          </m:sup>
        </m:sSup>
      </m:oMath>
      <w:r>
        <w:t xml:space="preserve">C, max: 28.27</w:t>
      </w:r>
      <m:oMath>
        <m:sSup>
          <m:e>
            <m:r>
              <m:t>​</m:t>
            </m:r>
          </m:e>
          <m:sup>
            <m:r>
              <m:t>∘</m:t>
            </m:r>
          </m:sup>
        </m:sSup>
      </m:oMath>
      <w:r>
        <w:t xml:space="preserve">C) and the the highest temperatures in September (mean: 29.68</w:t>
      </w:r>
      <m:oMath>
        <m:sSup>
          <m:e>
            <m:r>
              <m:t>​</m:t>
            </m:r>
          </m:e>
          <m:sup>
            <m:r>
              <m:t>∘</m:t>
            </m:r>
          </m:sup>
        </m:sSup>
      </m:oMath>
      <w:r>
        <w:t xml:space="preserve">C, min: 27.22</w:t>
      </w:r>
      <m:oMath>
        <m:sSup>
          <m:e>
            <m:r>
              <m:t>​</m:t>
            </m:r>
          </m:e>
          <m:sup>
            <m:r>
              <m:t>∘</m:t>
            </m:r>
          </m:sup>
        </m:sSup>
      </m:oMath>
      <w:r>
        <w:t xml:space="preserve">C, max: 32.11</w:t>
      </w:r>
      <m:oMath>
        <m:sSup>
          <m:e>
            <m:r>
              <m:t>​</m:t>
            </m:r>
          </m:e>
          <m:sup>
            <m:r>
              <m:t>∘</m:t>
            </m:r>
          </m:sup>
        </m:sSup>
      </m:oMath>
      <w:r>
        <w:t xml:space="preserve">C). The south 1m station presented the highest temperature variability and the maximum temperature values recorded in October 2021 (32.16</w:t>
      </w:r>
      <m:oMath>
        <m:sSup>
          <m:e>
            <m:r>
              <m:t>​</m:t>
            </m:r>
          </m:e>
          <m:sup>
            <m:r>
              <m:t>∘</m:t>
            </m:r>
          </m:sup>
        </m:sSup>
      </m:oMath>
      <w:r>
        <w:t xml:space="preserve">C) and September 2020 (32.11</w:t>
      </w:r>
      <m:oMath>
        <m:sSup>
          <m:e>
            <m:r>
              <m:t>​</m:t>
            </m:r>
          </m:e>
          <m:sup>
            <m:r>
              <m:t>∘</m:t>
            </m:r>
          </m:sup>
        </m:sSup>
      </m:oMath>
      <w:r>
        <w:t xml:space="preserve">C) (Fig. 2).</w:t>
      </w:r>
    </w:p>
    <w:p>
      <w:r>
        <w:pict>
          <v:rect style="width:0;height:1.5pt" o:hralign="center" o:hrstd="t" o:hr="t"/>
        </w:pict>
      </w:r>
    </w:p>
    <w:p>
      <w:pPr>
        <w:pStyle w:val="Heading4"/>
      </w:pPr>
      <w:bookmarkStart w:id="28" w:name="diurnal-suite-deployment"/>
      <w:r>
        <w:t xml:space="preserve">Diurnal Suite Deployment</w:t>
      </w:r>
      <w:bookmarkEnd w:id="28"/>
    </w:p>
    <w:p>
      <w:pPr>
        <w:pStyle w:val="FirstParagraph"/>
      </w:pPr>
      <w:r>
        <w:t xml:space="preserve">At the North 15m site, Salt River Bay, additional instruments were deployed for a 72-hour diurnal suite that monitored pH, temperature, light and current speed (Fig. 3). The SeaFET pH logger, EcoPAR and Tiltmeter collected measurements at 15-minute intervals.</w:t>
      </w:r>
    </w:p>
    <w:p>
      <w:pPr>
        <w:pStyle w:val="BodyText"/>
      </w:pPr>
      <w:r>
        <w:drawing>
          <wp:inline>
            <wp:extent cx="5334000" cy="3930315"/>
            <wp:effectExtent b="0" l="0" r="0" t="0"/>
            <wp:docPr descr="" title="" id="1" name="Picture"/>
            <a:graphic>
              <a:graphicData uri="http://schemas.openxmlformats.org/drawingml/2006/picture">
                <pic:pic>
                  <pic:nvPicPr>
                    <pic:cNvPr descr="STX_Field-Report_AP_files/figure-docx/Diurnal_Suite_Plot-1.png" id="0" name="Picture"/>
                    <pic:cNvPicPr>
                      <a:picLocks noChangeArrowheads="1" noChangeAspect="1"/>
                    </pic:cNvPicPr>
                  </pic:nvPicPr>
                  <pic:blipFill>
                    <a:blip r:embed="rId29"/>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rPr>
          <w:b/>
        </w:rPr>
        <w:t xml:space="preserve">Figure 3:</w:t>
      </w:r>
      <w:r>
        <w:t xml:space="preserve"> </w:t>
      </w:r>
      <w:r>
        <w:t xml:space="preserve">Salt River Bay (N 15m) diurnal suite monitoring from Sept 5th to Sept 8th. Top panel: pH and temperature from SeaFET. Bottom panel: Photosynthetically Available Radiation (PAR) and current speed from EcoPAR and Tiltmeter. Grey blocks denote night time throughout sequence of the plot. Instruments measured parameters every 15 minutes.</w:t>
      </w:r>
      <w:r>
        <w:t xml:space="preserve"> </w:t>
      </w:r>
    </w:p>
    <w:p>
      <w:pPr>
        <w:pStyle w:val="BodyText"/>
      </w:pPr>
      <w:r>
        <w:t xml:space="preserve">As part of the diurnal suite, discrete water samples were collected at three-hour intervals (n=15) using Subsurface Automatic Samplers (SAS). These samples will be analyzed for Total Alkalinity (TA), Dissolved Inorganic Carbon (DIC), and Spectrophotometric pH (SpecpH). Using these metrics we can get the calculated values for pCO2 and aragonite saturation state. For more information on SAS vist</w:t>
      </w:r>
      <w:r>
        <w:t xml:space="preserve"> </w:t>
      </w:r>
      <w:hyperlink r:id="rId30">
        <w:r>
          <w:rPr>
            <w:rStyle w:val="Hyperlink"/>
          </w:rPr>
          <w:t xml:space="preserve">https://www.coral.noaa.gov/accrete/sas/</w:t>
        </w:r>
      </w:hyperlink>
    </w:p>
    <w:p>
      <w:pPr>
        <w:pStyle w:val="CaptionedFigure"/>
      </w:pPr>
      <w:r>
        <w:drawing>
          <wp:inline>
            <wp:extent cx="329184" cy="329184"/>
            <wp:effectExtent b="0" l="0" r="0" t="0"/>
            <wp:docPr descr="Submered Automated Samplers (SAS) deployed to collect water samples every 3 hours" title="" id="1" name="Picture"/>
            <a:graphic>
              <a:graphicData uri="http://schemas.openxmlformats.org/drawingml/2006/picture">
                <pic:pic>
                  <pic:nvPicPr>
                    <pic:cNvPr descr="Data/SAS.jpg" id="0" name="Picture"/>
                    <pic:cNvPicPr>
                      <a:picLocks noChangeArrowheads="1" noChangeAspect="1"/>
                    </pic:cNvPicPr>
                  </pic:nvPicPr>
                  <pic:blipFill>
                    <a:blip r:embed="rId31"/>
                    <a:stretch>
                      <a:fillRect/>
                    </a:stretch>
                  </pic:blipFill>
                  <pic:spPr bwMode="auto">
                    <a:xfrm>
                      <a:off x="0" y="0"/>
                      <a:ext cx="329184" cy="329184"/>
                    </a:xfrm>
                    <a:prstGeom prst="rect">
                      <a:avLst/>
                    </a:prstGeom>
                    <a:noFill/>
                    <a:ln w="9525">
                      <a:noFill/>
                      <a:headEnd/>
                      <a:tailEnd/>
                    </a:ln>
                  </pic:spPr>
                </pic:pic>
              </a:graphicData>
            </a:graphic>
          </wp:inline>
        </w:drawing>
      </w:r>
    </w:p>
    <w:p>
      <w:pPr>
        <w:pStyle w:val="ImageCaption"/>
      </w:pPr>
      <w:r>
        <w:t xml:space="preserve">Submered Automated Samplers (SAS) deployed to collect water samples every 3 hours</w:t>
      </w:r>
    </w:p>
    <w:p>
      <w:r>
        <w:pict>
          <v:rect style="width:0;height:1.5pt" o:hralign="center" o:hrstd="t" o:hr="t"/>
        </w:pict>
      </w:r>
    </w:p>
    <w:p>
      <w:pPr>
        <w:pStyle w:val="Heading4"/>
      </w:pPr>
      <w:bookmarkStart w:id="32" w:name="carbonate-budgets"/>
      <w:r>
        <w:t xml:space="preserve">Carbonate budgets</w:t>
      </w:r>
      <w:bookmarkEnd w:id="32"/>
    </w:p>
    <w:p>
      <w:pPr>
        <w:pStyle w:val="FirstParagraph"/>
      </w:pPr>
      <w:r>
        <w:t xml:space="preserve">At Salt River Bay, six transects were established and surveyed in 2019 to obtain carbonate budgets which describe the summation of all processes contributing to calcification and bioerosion on a reef. This metric is used to determine if a reef is in a state of net accretion; growing or net loss; flattening. We revisited this site and recorded the abundance and cover of all major carbonate producing (coral and CCA) and eroding taxa (urchin, bioeroding sponges and parrotfish) to find out the new carbonate budget status after 3 years.</w:t>
      </w:r>
    </w:p>
    <w:p>
      <w:pPr>
        <w:pStyle w:val="BodyText"/>
      </w:pPr>
      <w:r>
        <w:drawing>
          <wp:inline>
            <wp:extent cx="5334000" cy="2489200"/>
            <wp:effectExtent b="0" l="0" r="0" t="0"/>
            <wp:docPr descr="" title="" id="1" name="Picture"/>
            <a:graphic>
              <a:graphicData uri="http://schemas.openxmlformats.org/drawingml/2006/picture">
                <pic:pic>
                  <pic:nvPicPr>
                    <pic:cNvPr descr="STX_Field-Report_AP_files/figure-docx/Carbonate_B_plot-1.png" id="0" name="Picture"/>
                    <pic:cNvPicPr>
                      <a:picLocks noChangeArrowheads="1" noChangeAspect="1"/>
                    </pic:cNvPicPr>
                  </pic:nvPicPr>
                  <pic:blipFill>
                    <a:blip r:embed="rId33"/>
                    <a:stretch>
                      <a:fillRect/>
                    </a:stretch>
                  </pic:blipFill>
                  <pic:spPr bwMode="auto">
                    <a:xfrm>
                      <a:off x="0" y="0"/>
                      <a:ext cx="5334000" cy="2489200"/>
                    </a:xfrm>
                    <a:prstGeom prst="rect">
                      <a:avLst/>
                    </a:prstGeom>
                    <a:noFill/>
                    <a:ln w="9525">
                      <a:noFill/>
                      <a:headEnd/>
                      <a:tailEnd/>
                    </a:ln>
                  </pic:spPr>
                </pic:pic>
              </a:graphicData>
            </a:graphic>
          </wp:inline>
        </w:drawing>
      </w:r>
    </w:p>
    <w:p>
      <w:pPr>
        <w:pStyle w:val="BodyText"/>
      </w:pPr>
      <w:r>
        <w:rPr>
          <w:b/>
        </w:rPr>
        <w:t xml:space="preserve">Figure 4:</w:t>
      </w:r>
      <w:r>
        <w:t xml:space="preserve"> </w:t>
      </w:r>
      <w:r>
        <w:t xml:space="preserve">Carbonate budgets Salt River Bay in 2019 and 2022 and the processes contributing to calcification and bioerosion. Carbonate budgets declined in 2022 compared to 2019, mainly due to the reduction in coral production and the increase in urching erosion.</w:t>
      </w:r>
      <w:r>
        <w:t xml:space="preserve"> </w:t>
      </w:r>
    </w:p>
    <w:p>
      <w:pPr>
        <w:pStyle w:val="BodyText"/>
      </w:pPr>
      <w:r>
        <w:t xml:space="preserve">The transect results showed that carbonate budgets have become negative in 2022, which implies that this site has shifted to being net erosional over the past 3 years.</w:t>
      </w:r>
    </w:p>
    <w:p>
      <w:r>
        <w:pict>
          <v:rect style="width:0;height:1.5pt" o:hralign="center" o:hrstd="t" o:hr="t"/>
        </w:pict>
      </w:r>
    </w:p>
    <w:p>
      <w:pPr>
        <w:pStyle w:val="Heading4"/>
      </w:pPr>
      <w:bookmarkStart w:id="34" w:name="other-deliverables"/>
      <w:r>
        <w:t xml:space="preserve">Other Deliverables</w:t>
      </w:r>
      <w:bookmarkEnd w:id="34"/>
    </w:p>
    <w:p>
      <w:pPr>
        <w:pStyle w:val="Compact"/>
        <w:numPr>
          <w:numId w:val="1007"/>
          <w:ilvl w:val="0"/>
        </w:numPr>
      </w:pPr>
      <w:r>
        <w:rPr>
          <w:b/>
        </w:rPr>
        <w:t xml:space="preserve">Calcification Accretion Units (CAUs)</w:t>
      </w:r>
      <w:r>
        <w:t xml:space="preserve"> </w:t>
      </w:r>
      <w:r>
        <w:t xml:space="preserve">and</w:t>
      </w:r>
      <w:r>
        <w:t xml:space="preserve"> </w:t>
      </w:r>
      <w:r>
        <w:rPr>
          <w:b/>
        </w:rPr>
        <w:t xml:space="preserve">Bioerosion Monitoring Units (BMUs)</w:t>
      </w:r>
      <w:r>
        <w:t xml:space="preserve"> </w:t>
      </w:r>
      <w:r>
        <w:t xml:space="preserve">were collected and redeployed for the next sampling cycle. CAUs are processed by the Pacific Climate group and the data will be available within a year. BMUs will be dried and cleaned using a hydrogen peroxide solution. These samples will be weighed and scanned using a Macro CT scanner and then compared to their pre-scans to quantify bioerosion. Data will be available in a year. Please reference previous datasets for more information.</w:t>
      </w:r>
    </w:p>
    <w:p>
      <w:pPr>
        <w:pStyle w:val="CaptionedFigure"/>
      </w:pPr>
      <w:r>
        <w:drawing>
          <wp:inline>
            <wp:extent cx="219456" cy="219456"/>
            <wp:effectExtent b="0" l="0" r="0" t="0"/>
            <wp:docPr descr="CAU and BMU pair before retreval after being deployed for 3 years. CAUs are 2 parallel PVC plates to quantify settled accretors. BMU is mounted coral skeleton installed at the base of the metal stake and has been encrusted." title="" id="1" name="Picture"/>
            <a:graphic>
              <a:graphicData uri="http://schemas.openxmlformats.org/drawingml/2006/picture">
                <pic:pic>
                  <pic:nvPicPr>
                    <pic:cNvPr descr="Data/CAUBMU.jpg" id="0" name="Picture"/>
                    <pic:cNvPicPr>
                      <a:picLocks noChangeArrowheads="1" noChangeAspect="1"/>
                    </pic:cNvPicPr>
                  </pic:nvPicPr>
                  <pic:blipFill>
                    <a:blip r:embed="rId35"/>
                    <a:stretch>
                      <a:fillRect/>
                    </a:stretch>
                  </pic:blipFill>
                  <pic:spPr bwMode="auto">
                    <a:xfrm>
                      <a:off x="0" y="0"/>
                      <a:ext cx="219456" cy="219456"/>
                    </a:xfrm>
                    <a:prstGeom prst="rect">
                      <a:avLst/>
                    </a:prstGeom>
                    <a:noFill/>
                    <a:ln w="9525">
                      <a:noFill/>
                      <a:headEnd/>
                      <a:tailEnd/>
                    </a:ln>
                  </pic:spPr>
                </pic:pic>
              </a:graphicData>
            </a:graphic>
          </wp:inline>
        </w:drawing>
      </w:r>
    </w:p>
    <w:p>
      <w:pPr>
        <w:pStyle w:val="ImageCaption"/>
      </w:pPr>
      <w:r>
        <w:t xml:space="preserve">CAU and BMU pair before retreval after being deployed for 3 years. CAUs are 2 parallel PVC plates to quantify settled accretors. BMU is mounted coral skeleton installed at the base of the metal stake and has been encrusted.</w:t>
      </w:r>
    </w:p>
    <w:p>
      <w:pPr>
        <w:pStyle w:val="Compact"/>
        <w:numPr>
          <w:numId w:val="1008"/>
          <w:ilvl w:val="0"/>
        </w:numPr>
      </w:pPr>
      <w:r>
        <w:rPr>
          <w:b/>
        </w:rPr>
        <w:t xml:space="preserve">Landscape mosaics</w:t>
      </w:r>
      <w:r>
        <w:t xml:space="preserve"> </w:t>
      </w:r>
      <w:r>
        <w:t xml:space="preserve">(n=6) were completed to monitor changes in benthic cover.</w:t>
      </w:r>
    </w:p>
    <w:p>
      <w:pPr>
        <w:pStyle w:val="CaptionedFigure"/>
      </w:pPr>
      <w:r>
        <w:drawing>
          <wp:inline>
            <wp:extent cx="3810000" cy="2540000"/>
            <wp:effectExtent b="0" l="0" r="0" t="0"/>
            <wp:docPr descr="Landscape Mosaic collected from transect 6" title="" id="1" name="Picture"/>
            <a:graphic>
              <a:graphicData uri="http://schemas.openxmlformats.org/drawingml/2006/picture">
                <pic:pic>
                  <pic:nvPicPr>
                    <pic:cNvPr descr="Data/mosaic.jp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Landscape Mosaic collected from transect 6</w:t>
      </w:r>
    </w:p>
    <w:p>
      <w:r>
        <w:pict>
          <v:rect style="width:0;height:1.5pt" o:hralign="center" o:hrstd="t" o:hr="t"/>
        </w:pict>
      </w:r>
    </w:p>
    <w:p>
      <w:pPr>
        <w:pStyle w:val="Heading3"/>
      </w:pPr>
      <w:bookmarkStart w:id="37" w:name="about-the-monitoring-program"/>
      <w:r>
        <w:t xml:space="preserve">About the monitoring program</w:t>
      </w:r>
      <w:bookmarkEnd w:id="37"/>
    </w:p>
    <w:p>
      <w:pPr>
        <w:pStyle w:val="FirstParagraph"/>
      </w:pPr>
      <w:r>
        <w:t xml:space="preserve">AOML’s climate monitoring is a key part of the National Coral Reef Monitoring Program of NOAA’s Coral Reef Conservation Program (CRCP), providing integrated, consistent, and comparable data across U.S. Managed coral reef ecosystems.</w:t>
      </w:r>
      <w:r>
        <w:t xml:space="preserve"> </w:t>
      </w:r>
      <w:r>
        <w:t xml:space="preserve">CRCP monitoring efforts aim to:</w:t>
      </w:r>
    </w:p>
    <w:p>
      <w:pPr>
        <w:pStyle w:val="Compact"/>
        <w:numPr>
          <w:numId w:val="1009"/>
          <w:ilvl w:val="0"/>
        </w:numPr>
      </w:pPr>
      <w:r>
        <w:t xml:space="preserve">Document the status of reef species of ecological and economic importance.</w:t>
      </w:r>
    </w:p>
    <w:p>
      <w:pPr>
        <w:pStyle w:val="Compact"/>
        <w:numPr>
          <w:numId w:val="1009"/>
          <w:ilvl w:val="0"/>
        </w:numPr>
      </w:pPr>
      <w:r>
        <w:t xml:space="preserve">Track and assess changes in reef communities in response to environmental stressors or human activities.</w:t>
      </w:r>
    </w:p>
    <w:p>
      <w:pPr>
        <w:pStyle w:val="Compact"/>
        <w:numPr>
          <w:numId w:val="1009"/>
          <w:ilvl w:val="0"/>
        </w:numPr>
      </w:pPr>
      <w:r>
        <w:t xml:space="preserve">Evaluate the effectiveness of specific management strategies and identify actions for future and adaptive responses.</w:t>
      </w:r>
    </w:p>
    <w:p>
      <w:pPr>
        <w:pStyle w:val="Heading3"/>
      </w:pPr>
      <w:bookmarkStart w:id="38" w:name="point-of-contact"/>
      <w:r>
        <w:t xml:space="preserve">Point of Contact</w:t>
      </w:r>
      <w:bookmarkEnd w:id="38"/>
    </w:p>
    <w:p>
      <w:pPr>
        <w:pStyle w:val="FirstParagraph"/>
      </w:pPr>
      <w:r>
        <w:t xml:space="preserve">Atlantic Climate team lead:</w:t>
      </w:r>
      <w:r>
        <w:t xml:space="preserve"> </w:t>
      </w:r>
      <w:hyperlink r:id="rId39">
        <w:r>
          <w:rPr>
            <w:rStyle w:val="Hyperlink"/>
          </w:rPr>
          <w:t xml:space="preserve">nicole.besemer@noaa.gov</w:t>
        </w:r>
      </w:hyperlink>
    </w:p>
    <w:p>
      <w:pPr>
        <w:pStyle w:val="BodyText"/>
      </w:pPr>
      <w:r>
        <w:t xml:space="preserve">Principal Investigator:</w:t>
      </w:r>
      <w:r>
        <w:t xml:space="preserve"> </w:t>
      </w:r>
      <w:hyperlink r:id="rId40">
        <w:r>
          <w:rPr>
            <w:rStyle w:val="Hyperlink"/>
          </w:rPr>
          <w:t xml:space="preserve">ian.enochs@noaa.gov</w:t>
        </w:r>
      </w:hyperlink>
    </w:p>
    <w:p>
      <w:pPr>
        <w:pStyle w:val="BodyText"/>
      </w:pPr>
      <w:r>
        <w:t xml:space="preserve">NCRMP Coordinator:</w:t>
      </w:r>
      <w:r>
        <w:t xml:space="preserve"> </w:t>
      </w:r>
      <w:hyperlink r:id="rId41">
        <w:r>
          <w:rPr>
            <w:rStyle w:val="Hyperlink"/>
          </w:rPr>
          <w:t xml:space="preserve">erica.towle@noaa.gov</w:t>
        </w:r>
      </w:hyperlink>
    </w:p>
    <w:p>
      <w:pPr>
        <w:pStyle w:val="Heading3"/>
      </w:pPr>
      <w:bookmarkStart w:id="42" w:name="for-more-information"/>
      <w:r>
        <w:t xml:space="preserve">For more information</w:t>
      </w:r>
      <w:bookmarkEnd w:id="42"/>
    </w:p>
    <w:p>
      <w:pPr>
        <w:pStyle w:val="FirstParagraph"/>
      </w:pPr>
      <w:r>
        <w:t xml:space="preserve">Coral Reef Conservation Program:</w:t>
      </w:r>
      <w:r>
        <w:t xml:space="preserve"> </w:t>
      </w:r>
      <w:hyperlink r:id="rId43">
        <w:r>
          <w:rPr>
            <w:rStyle w:val="Hyperlink"/>
          </w:rPr>
          <w:t xml:space="preserve">http://coralreef.noaa.gov</w:t>
        </w:r>
      </w:hyperlink>
    </w:p>
    <w:p>
      <w:pPr>
        <w:pStyle w:val="BodyText"/>
      </w:pPr>
      <w:r>
        <w:t xml:space="preserve">NCRMP climate monitoring:</w:t>
      </w:r>
      <w:r>
        <w:t xml:space="preserve"> </w:t>
      </w:r>
      <w:hyperlink r:id="rId44">
        <w:r>
          <w:rPr>
            <w:rStyle w:val="Hyperlink"/>
          </w:rPr>
          <w:t xml:space="preserve">https://www.coris.noaa.gov/monitoring/climate.html</w:t>
        </w:r>
      </w:hyperlink>
    </w:p>
    <w:p>
      <w:pPr>
        <w:pStyle w:val="BodyText"/>
      </w:pPr>
      <w:r>
        <w:t xml:space="preserve">NOAA Atlantic Oceanographic and Meteorological Laboratory:</w:t>
      </w:r>
      <w:r>
        <w:t xml:space="preserve"> </w:t>
      </w:r>
      <w:hyperlink r:id="rId45">
        <w:r>
          <w:rPr>
            <w:rStyle w:val="Hyperlink"/>
          </w:rPr>
          <w:t xml:space="preserve">http://www.aoml.noaa.gov/</w:t>
        </w:r>
      </w:hyperlink>
    </w:p>
    <w:p>
      <w:pPr>
        <w:pStyle w:val="BodyText"/>
      </w:pPr>
      <w:hyperlink r:id="rId46">
        <w:r>
          <w:rPr>
            <w:rStyle w:val="Hyperlink"/>
          </w:rPr>
          <w:t xml:space="preserve">USVI Reef Status Report 2020</w:t>
        </w:r>
      </w:hyperlink>
    </w:p>
    <w:p>
      <w:pPr>
        <w:pStyle w:val="BodyText"/>
      </w:pPr>
      <w:hyperlink r:id="rId47">
        <w:r>
          <w:rPr>
            <w:rStyle w:val="Hyperlink"/>
          </w:rPr>
          <w:t xml:space="preserve">National Coral Reef Status Report 2020</w:t>
        </w:r>
      </w:hyperlink>
    </w:p>
    <w:p>
      <w:pPr>
        <w:pStyle w:val="Heading3"/>
      </w:pPr>
      <w:bookmarkStart w:id="48" w:name="acknowledgements"/>
      <w:r>
        <w:t xml:space="preserve">Acknowledgements</w:t>
      </w:r>
      <w:bookmarkEnd w:id="48"/>
    </w:p>
    <w:p>
      <w:pPr>
        <w:pStyle w:val="FirstParagraph"/>
      </w:pPr>
      <w:r>
        <w:t xml:space="preserve">These efforts were jointly funded by NOAA’s CRCP and OAP. We would like to sincerely thank the National Park Service as well as Caribbean Sea Adventures for supporting our field efforts and assisting monitoring surveys</w:t>
      </w:r>
    </w:p>
    <w:p>
      <w:pPr>
        <w:pStyle w:val="BodyText"/>
      </w:pPr>
      <w:r>
        <w:drawing>
          <wp:inline>
            <wp:extent cx="5334000" cy="4267200"/>
            <wp:effectExtent b="0" l="0" r="0" t="0"/>
            <wp:docPr descr="" title="" id="1" name="Picture"/>
            <a:graphic>
              <a:graphicData uri="http://schemas.openxmlformats.org/drawingml/2006/picture">
                <pic:pic>
                  <pic:nvPicPr>
                    <pic:cNvPr descr="STX_Field-Report_AP_files/figure-docx/funding-1.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50" w:name="our-team"/>
      <w:r>
        <w:t xml:space="preserve">Our Team</w:t>
      </w:r>
      <w:bookmarkEnd w:id="50"/>
    </w:p>
    <w:p>
      <w:pPr>
        <w:pStyle w:val="FirstParagraph"/>
      </w:pPr>
      <w:r>
        <w:drawing>
          <wp:inline>
            <wp:extent cx="5334000" cy="4157486"/>
            <wp:effectExtent b="0" l="0" r="0" t="0"/>
            <wp:docPr descr="" title="" id="1" name="Picture"/>
            <a:graphic>
              <a:graphicData uri="http://schemas.openxmlformats.org/drawingml/2006/picture">
                <pic:pic>
                  <pic:nvPicPr>
                    <pic:cNvPr descr="Data/Fieldteam.jpg" id="0" name="Picture"/>
                    <pic:cNvPicPr>
                      <a:picLocks noChangeArrowheads="1" noChangeAspect="1"/>
                    </pic:cNvPicPr>
                  </pic:nvPicPr>
                  <pic:blipFill>
                    <a:blip r:embed="rId51"/>
                    <a:stretch>
                      <a:fillRect/>
                    </a:stretch>
                  </pic:blipFill>
                  <pic:spPr bwMode="auto">
                    <a:xfrm>
                      <a:off x="0" y="0"/>
                      <a:ext cx="5334000" cy="4157486"/>
                    </a:xfrm>
                    <a:prstGeom prst="rect">
                      <a:avLst/>
                    </a:prstGeom>
                    <a:noFill/>
                    <a:ln w="9525">
                      <a:noFill/>
                      <a:headEnd/>
                      <a:tailEnd/>
                    </a:ln>
                  </pic:spPr>
                </pic:pic>
              </a:graphicData>
            </a:graphic>
          </wp:inline>
        </w:drawing>
      </w:r>
    </w:p>
    <w:p>
      <w:pPr>
        <w:pStyle w:val="BodyText"/>
      </w:pPr>
      <w:r>
        <w:rPr>
          <w:b/>
        </w:rPr>
        <w:t xml:space="preserve">AOMLs NCRMP Atlantic and Caribbean Climate Team</w:t>
      </w:r>
      <w:r>
        <w:t xml:space="preserve">: I. Enochs, N. Besemer, G. Kolodziej, M. Chakraborty, A.Boyd, M. Jankulak, A. Palacio-Castro, A. Webb, B. Chomitz</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51" Target="media/rId51.jpg" /><Relationship Type="http://schemas.openxmlformats.org/officeDocument/2006/relationships/image" Id="rId31" Target="media/rId31.jpg" /><Relationship Type="http://schemas.openxmlformats.org/officeDocument/2006/relationships/image" Id="rId20" Target="media/rId20.jpg" /><Relationship Type="http://schemas.openxmlformats.org/officeDocument/2006/relationships/image" Id="rId36" Target="media/rId36.jp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9" Target="media/rId4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hyperlink" Id="rId43" Target="http://coralreef.noaa.gov" TargetMode="External" /><Relationship Type="http://schemas.openxmlformats.org/officeDocument/2006/relationships/hyperlink" Id="rId45" Target="http://www.aoml.noaa.gov/" TargetMode="External" /><Relationship Type="http://schemas.openxmlformats.org/officeDocument/2006/relationships/hyperlink" Id="rId47" Target="https://repository.library.noaa.gov/view/noaa/27295" TargetMode="External" /><Relationship Type="http://schemas.openxmlformats.org/officeDocument/2006/relationships/hyperlink" Id="rId30" Target="https://www.coral.noaa.gov/accrete/sas/" TargetMode="External" /><Relationship Type="http://schemas.openxmlformats.org/officeDocument/2006/relationships/hyperlink" Id="rId44" Target="https://www.coris.noaa.gov/monitoring/climate.html" TargetMode="External" /><Relationship Type="http://schemas.openxmlformats.org/officeDocument/2006/relationships/hyperlink" Id="rId46" Target="https://www.coris.noaa.gov/monitoring/status_report/docs/USVI_508_compliant.pdf" TargetMode="External" /><Relationship Type="http://schemas.openxmlformats.org/officeDocument/2006/relationships/hyperlink" Id="rId41" Target="mailto:erica.towle@noaa.gov" TargetMode="External" /><Relationship Type="http://schemas.openxmlformats.org/officeDocument/2006/relationships/hyperlink" Id="rId40" Target="mailto:ian.enochs@noaa.gov" TargetMode="External" /><Relationship Type="http://schemas.openxmlformats.org/officeDocument/2006/relationships/hyperlink" Id="rId39" Target="mailto:nicole.besemer@noaa.gov" TargetMode="External" /></Relationships>
</file>

<file path=word/_rels/footnotes.xml.rels><?xml version="1.0" encoding="UTF-8"?>
<Relationships xmlns="http://schemas.openxmlformats.org/package/2006/relationships"><Relationship Type="http://schemas.openxmlformats.org/officeDocument/2006/relationships/hyperlink" Id="rId43" Target="http://coralreef.noaa.gov" TargetMode="External" /><Relationship Type="http://schemas.openxmlformats.org/officeDocument/2006/relationships/hyperlink" Id="rId45" Target="http://www.aoml.noaa.gov/" TargetMode="External" /><Relationship Type="http://schemas.openxmlformats.org/officeDocument/2006/relationships/hyperlink" Id="rId47" Target="https://repository.library.noaa.gov/view/noaa/27295" TargetMode="External" /><Relationship Type="http://schemas.openxmlformats.org/officeDocument/2006/relationships/hyperlink" Id="rId30" Target="https://www.coral.noaa.gov/accrete/sas/" TargetMode="External" /><Relationship Type="http://schemas.openxmlformats.org/officeDocument/2006/relationships/hyperlink" Id="rId44" Target="https://www.coris.noaa.gov/monitoring/climate.html" TargetMode="External" /><Relationship Type="http://schemas.openxmlformats.org/officeDocument/2006/relationships/hyperlink" Id="rId46" Target="https://www.coris.noaa.gov/monitoring/status_report/docs/USVI_508_compliant.pdf" TargetMode="External" /><Relationship Type="http://schemas.openxmlformats.org/officeDocument/2006/relationships/hyperlink" Id="rId41" Target="mailto:erica.towle@noaa.gov" TargetMode="External" /><Relationship Type="http://schemas.openxmlformats.org/officeDocument/2006/relationships/hyperlink" Id="rId40" Target="mailto:ian.enochs@noaa.gov" TargetMode="External" /><Relationship Type="http://schemas.openxmlformats.org/officeDocument/2006/relationships/hyperlink" Id="rId39" Target="mailto:nicole.besemer@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2022-11-02T20:06:13Z</dcterms:created>
  <dcterms:modified xsi:type="dcterms:W3CDTF">2022-11-02T20:06:13Z</dcterms:modified>
</cp:coreProperties>
</file>